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4" w:rsidRPr="00C420E8" w:rsidRDefault="00351FF0" w:rsidP="00C420E8">
      <w:pPr>
        <w:spacing w:after="0" w:line="240" w:lineRule="auto"/>
        <w:jc w:val="center"/>
        <w:rPr>
          <w:b/>
          <w:sz w:val="20"/>
        </w:rPr>
      </w:pPr>
      <w:r w:rsidRPr="00C420E8">
        <w:rPr>
          <w:b/>
          <w:sz w:val="20"/>
        </w:rPr>
        <w:t>POLITYKA ANTYKORUPCYJNA MAXIMA GRUPĖ, UAB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Pr="00C420E8" w:rsidRDefault="00351FF0" w:rsidP="00351F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C420E8">
        <w:rPr>
          <w:b/>
          <w:sz w:val="20"/>
        </w:rPr>
        <w:t xml:space="preserve">Cel 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Default="00351FF0" w:rsidP="00351FF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Celem niniejszej Polityki jest określenie głównych zasad i wymogów antykorupcyjnych Grupy, wraz z wytycznymi odnośnie ich wdrażania, tworząc</w:t>
      </w:r>
      <w:r w:rsidR="00F22499">
        <w:rPr>
          <w:sz w:val="20"/>
        </w:rPr>
        <w:t>ymi</w:t>
      </w:r>
      <w:r>
        <w:rPr>
          <w:sz w:val="20"/>
        </w:rPr>
        <w:t xml:space="preserve"> kontekst i warunki do zapewniania zgodności z najwyższymi standardami przejrzystości w </w:t>
      </w:r>
      <w:r w:rsidR="00F22499">
        <w:rPr>
          <w:sz w:val="20"/>
        </w:rPr>
        <w:t>działalności</w:t>
      </w:r>
      <w:r>
        <w:rPr>
          <w:sz w:val="20"/>
        </w:rPr>
        <w:t xml:space="preserve"> całej Grupy. 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Pr="00C420E8" w:rsidRDefault="00351FF0" w:rsidP="00351F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C420E8">
        <w:rPr>
          <w:b/>
          <w:sz w:val="20"/>
        </w:rPr>
        <w:t xml:space="preserve">Zastosowanie 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Default="00351FF0" w:rsidP="00351FF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Niniejsza Polityka ma zastosowanie do wszystkich pracowników Grupy, w tym członków zarządu i rady nadzorczej oraz komitetów spółek wchodzących w skład Grupy, osób zatrudnionych w oparciu o umowy cywilnoprawne, zaangażowanych konsultantów, pośredników oraz inne osoby działające w imieniu spółek Grupy niezależnie od </w:t>
      </w:r>
      <w:r w:rsidR="00F22499">
        <w:rPr>
          <w:sz w:val="20"/>
        </w:rPr>
        <w:t xml:space="preserve">ich </w:t>
      </w:r>
      <w:r>
        <w:rPr>
          <w:sz w:val="20"/>
        </w:rPr>
        <w:t xml:space="preserve">wynagrodzenia </w:t>
      </w:r>
      <w:r w:rsidR="00F22499">
        <w:rPr>
          <w:sz w:val="20"/>
        </w:rPr>
        <w:t xml:space="preserve">lub formy </w:t>
      </w:r>
      <w:r>
        <w:rPr>
          <w:sz w:val="20"/>
        </w:rPr>
        <w:t xml:space="preserve">relacji z daną spółką. 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Pr="00C420E8" w:rsidRDefault="00351FF0" w:rsidP="00351F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C420E8">
        <w:rPr>
          <w:b/>
          <w:sz w:val="20"/>
        </w:rPr>
        <w:t xml:space="preserve">Wyrażenia i skróty zastosowane w niniejszej Polityce </w:t>
      </w:r>
    </w:p>
    <w:p w:rsidR="00351FF0" w:rsidRDefault="00351FF0" w:rsidP="00351FF0">
      <w:pPr>
        <w:spacing w:after="0" w:line="240" w:lineRule="auto"/>
        <w:jc w:val="both"/>
        <w:rPr>
          <w:sz w:val="20"/>
        </w:rPr>
      </w:pPr>
    </w:p>
    <w:p w:rsidR="00351FF0" w:rsidRDefault="00351FF0" w:rsidP="00351FF0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Poniższe wyrażenia i skróty zastosowane w niniejszej Polityce mają następujące znaczenie: </w:t>
      </w:r>
    </w:p>
    <w:p w:rsidR="00351FF0" w:rsidRDefault="00351FF0" w:rsidP="00351FF0">
      <w:pPr>
        <w:spacing w:after="0" w:line="240" w:lineRule="auto"/>
        <w:ind w:left="360"/>
        <w:jc w:val="both"/>
        <w:rPr>
          <w:sz w:val="20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2"/>
        <w:gridCol w:w="5636"/>
      </w:tblGrid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Przedstawiciel</w:t>
            </w:r>
          </w:p>
        </w:tc>
        <w:tc>
          <w:tcPr>
            <w:tcW w:w="5636" w:type="dxa"/>
          </w:tcPr>
          <w:p w:rsidR="00351FF0" w:rsidRDefault="00351FF0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pracownika lub członka zarządu, rady nadzorczej lub komitetu dowolnej spółki Grupy bądź osobę zatrudnioną w oparciu o umowę cywilnoprawną, konsu</w:t>
            </w:r>
            <w:r w:rsidR="00F22499">
              <w:rPr>
                <w:sz w:val="20"/>
              </w:rPr>
              <w:t>ltant, pośrednika lub inną osobę</w:t>
            </w:r>
            <w:r>
              <w:rPr>
                <w:sz w:val="20"/>
              </w:rPr>
              <w:t xml:space="preserve"> posiadającą prawo do działania w imieniu Grupy lub jej spółek.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Spółka</w:t>
            </w:r>
          </w:p>
        </w:tc>
        <w:tc>
          <w:tcPr>
            <w:tcW w:w="5636" w:type="dxa"/>
          </w:tcPr>
          <w:p w:rsidR="00351FF0" w:rsidRDefault="00351FF0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MAXIMA GRUPĖ UAB, nr w rejestrze podmiotów prawnych</w:t>
            </w:r>
            <w:r w:rsidRPr="00351FF0">
              <w:rPr>
                <w:sz w:val="20"/>
              </w:rPr>
              <w:t xml:space="preserve"> 301066547</w:t>
            </w:r>
            <w:r>
              <w:rPr>
                <w:sz w:val="20"/>
              </w:rPr>
              <w:t xml:space="preserve">, adres siedziby </w:t>
            </w:r>
            <w:proofErr w:type="spellStart"/>
            <w:r w:rsidRPr="00351FF0">
              <w:rPr>
                <w:sz w:val="20"/>
              </w:rPr>
              <w:t>Savanorių</w:t>
            </w:r>
            <w:proofErr w:type="spellEnd"/>
            <w:r w:rsidRPr="00351FF0">
              <w:rPr>
                <w:sz w:val="20"/>
              </w:rPr>
              <w:t xml:space="preserve"> pr. 247, 02300</w:t>
            </w:r>
            <w:r>
              <w:rPr>
                <w:sz w:val="20"/>
              </w:rPr>
              <w:t xml:space="preserve">, Wilno, Litwa.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Pracownik</w:t>
            </w:r>
          </w:p>
        </w:tc>
        <w:tc>
          <w:tcPr>
            <w:tcW w:w="5636" w:type="dxa"/>
          </w:tcPr>
          <w:p w:rsidR="00351FF0" w:rsidRDefault="00351FF0" w:rsidP="00F224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oznacza osobę zatrudnioną w oparciu o umowę o pracę lub umowę cywilnoprawną lub osobę, która na innej podstawie pracuje lub sprawuje </w:t>
            </w:r>
            <w:proofErr w:type="gramStart"/>
            <w:r>
              <w:rPr>
                <w:sz w:val="20"/>
              </w:rPr>
              <w:t xml:space="preserve">funkcję w </w:t>
            </w:r>
            <w:r w:rsidR="00F22499">
              <w:rPr>
                <w:sz w:val="20"/>
              </w:rPr>
              <w:t>co</w:t>
            </w:r>
            <w:proofErr w:type="gramEnd"/>
            <w:r w:rsidR="00F22499">
              <w:rPr>
                <w:sz w:val="20"/>
              </w:rPr>
              <w:t xml:space="preserve"> najmniej jednej spółce </w:t>
            </w:r>
            <w:r>
              <w:rPr>
                <w:sz w:val="20"/>
              </w:rPr>
              <w:t xml:space="preserve">Grupy, w tym członkowie zarządu, rady nadzorczej lub komitetów spółek należących do Grupy, jak również Przedstawiciele, niezależnie od </w:t>
            </w:r>
            <w:r w:rsidR="00F22499">
              <w:rPr>
                <w:sz w:val="20"/>
              </w:rPr>
              <w:t xml:space="preserve">ich </w:t>
            </w:r>
            <w:r>
              <w:rPr>
                <w:sz w:val="20"/>
              </w:rPr>
              <w:t xml:space="preserve">wynagrodzenia </w:t>
            </w:r>
            <w:r w:rsidR="00F22499">
              <w:rPr>
                <w:sz w:val="20"/>
              </w:rPr>
              <w:t>lub formy relacji</w:t>
            </w:r>
            <w:r>
              <w:rPr>
                <w:sz w:val="20"/>
              </w:rPr>
              <w:t xml:space="preserve"> z daną spółką.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Prezent</w:t>
            </w:r>
          </w:p>
        </w:tc>
        <w:tc>
          <w:tcPr>
            <w:tcW w:w="5636" w:type="dxa"/>
          </w:tcPr>
          <w:p w:rsidR="00351FF0" w:rsidRDefault="00351FF0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przedmiot, usługę, rabat lub</w:t>
            </w:r>
            <w:r w:rsidR="00073A66">
              <w:rPr>
                <w:sz w:val="20"/>
              </w:rPr>
              <w:t xml:space="preserve"> inną korzyść dowolnej wartości, którą się otrzymuje lub przekazuje bezpłatnie (np. pieniądze, napoje, bilety, usługi, wyjazdy, zakwaterowanie etc.).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Grupa</w:t>
            </w:r>
          </w:p>
        </w:tc>
        <w:tc>
          <w:tcPr>
            <w:tcW w:w="5636" w:type="dxa"/>
          </w:tcPr>
          <w:p w:rsidR="00351FF0" w:rsidRDefault="00073A66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Spółkę oraz podmioty prawne bezpośrednio i pośrednio kontrolowane przez Spółkę. W niniejszej Polityce odniesienie do Grupy oznacza odniesienie do każdego podmiotu prawnego znajdującego się w Grupie.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Konflikt interesów</w:t>
            </w:r>
          </w:p>
        </w:tc>
        <w:tc>
          <w:tcPr>
            <w:tcW w:w="5636" w:type="dxa"/>
          </w:tcPr>
          <w:p w:rsidR="00351FF0" w:rsidRDefault="00073A66" w:rsidP="00073A6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sytuację, w której Pracownik musi dokonać wyboru pomiędzy wykonywaniem swoich obowiązków i/lub funkcji a swoim interesem prywatnym lub interesem prywatnym osoby trzeciej.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Korupcja</w:t>
            </w:r>
          </w:p>
        </w:tc>
        <w:tc>
          <w:tcPr>
            <w:tcW w:w="5636" w:type="dxa"/>
          </w:tcPr>
          <w:p w:rsidR="00351FF0" w:rsidRDefault="00073A66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każde działanie wiążące się z nadużyciem uprawnień nadanych przez Grupę w celu uzyskania korzyści dla siebie lub stron trzecich.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Polityka</w:t>
            </w:r>
          </w:p>
        </w:tc>
        <w:tc>
          <w:tcPr>
            <w:tcW w:w="5636" w:type="dxa"/>
          </w:tcPr>
          <w:p w:rsidR="00351FF0" w:rsidRDefault="00073A66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niniejszą Politykę antykorupcyjną.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Państwo obce</w:t>
            </w:r>
          </w:p>
        </w:tc>
        <w:tc>
          <w:tcPr>
            <w:tcW w:w="5636" w:type="dxa"/>
          </w:tcPr>
          <w:p w:rsidR="00351FF0" w:rsidRDefault="00073A66" w:rsidP="00073A6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dowolne państwo obce poza państwami, w których spółka Grupy prowadzi działalność, w tym wszystkie instytucje państwa obcego, od szczebla gminnego do krajowego. Termin państwo obce ma zastosowanie także do organizacji międzynarodowych. </w:t>
            </w:r>
          </w:p>
        </w:tc>
      </w:tr>
      <w:tr w:rsidR="00351FF0" w:rsidTr="00073A66">
        <w:tc>
          <w:tcPr>
            <w:tcW w:w="3292" w:type="dxa"/>
          </w:tcPr>
          <w:p w:rsidR="00351FF0" w:rsidRPr="00073A66" w:rsidRDefault="00351FF0" w:rsidP="00351FF0">
            <w:pPr>
              <w:jc w:val="both"/>
              <w:rPr>
                <w:b/>
                <w:sz w:val="20"/>
              </w:rPr>
            </w:pPr>
            <w:r w:rsidRPr="00073A66">
              <w:rPr>
                <w:b/>
                <w:sz w:val="20"/>
              </w:rPr>
              <w:t>Zagraniczny funkcjonariusz publiczny</w:t>
            </w:r>
          </w:p>
        </w:tc>
        <w:tc>
          <w:tcPr>
            <w:tcW w:w="5636" w:type="dxa"/>
          </w:tcPr>
          <w:p w:rsidR="00351FF0" w:rsidRDefault="00073A66" w:rsidP="00351FF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oznacza</w:t>
            </w:r>
            <w:proofErr w:type="gramEnd"/>
            <w:r>
              <w:rPr>
                <w:sz w:val="20"/>
              </w:rPr>
              <w:t xml:space="preserve"> osobę sprawującą funkcję w zagranicznych władzach publicznych, które mają władzę ustawodawczą lub wykonują </w:t>
            </w:r>
            <w:r>
              <w:rPr>
                <w:sz w:val="20"/>
              </w:rPr>
              <w:lastRenderedPageBreak/>
              <w:t xml:space="preserve">funkcje administracji publicznej, w tym m.in. organy sądowe, niezależnie od tego, czy dana osoba jest wybierana lub nominowana na stanowisko. Zagranicznym funkcjonariuszem publicznym jest także osoba sprawująca funkcje w publicznym podmiocie prawnym lub w organizacji międzynarodowej. </w:t>
            </w:r>
          </w:p>
        </w:tc>
      </w:tr>
    </w:tbl>
    <w:p w:rsidR="00351FF0" w:rsidRDefault="00351FF0" w:rsidP="00351FF0">
      <w:pPr>
        <w:spacing w:after="0" w:line="240" w:lineRule="auto"/>
        <w:ind w:left="360"/>
        <w:jc w:val="both"/>
        <w:rPr>
          <w:sz w:val="20"/>
        </w:rPr>
      </w:pPr>
    </w:p>
    <w:p w:rsidR="00351FF0" w:rsidRPr="00073A66" w:rsidRDefault="00073A66" w:rsidP="00351F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073A66">
        <w:rPr>
          <w:b/>
          <w:sz w:val="20"/>
        </w:rPr>
        <w:t xml:space="preserve">Zobowiązania antykorupcyjne </w:t>
      </w:r>
    </w:p>
    <w:p w:rsidR="00073A66" w:rsidRDefault="00073A66" w:rsidP="00073A66">
      <w:pPr>
        <w:spacing w:after="0" w:line="240" w:lineRule="auto"/>
        <w:jc w:val="both"/>
        <w:rPr>
          <w:sz w:val="20"/>
        </w:rPr>
      </w:pPr>
    </w:p>
    <w:p w:rsidR="00073A66" w:rsidRDefault="00073A66" w:rsidP="00073A6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Grupa nie toleruje korupcji w żadnej formie i jest zaangażowana w pod</w:t>
      </w:r>
      <w:r w:rsidR="002A17B2">
        <w:rPr>
          <w:sz w:val="20"/>
        </w:rPr>
        <w:t xml:space="preserve">ejmowanie działań prewencyjnych, aby uniknąć korupcji w Grupie oraz aby walczyć z korupcją. </w:t>
      </w:r>
    </w:p>
    <w:p w:rsidR="002A17B2" w:rsidRDefault="002A17B2" w:rsidP="002A17B2">
      <w:pPr>
        <w:pStyle w:val="Akapitzlist"/>
        <w:spacing w:after="0" w:line="240" w:lineRule="auto"/>
        <w:jc w:val="both"/>
        <w:rPr>
          <w:sz w:val="20"/>
        </w:rPr>
      </w:pPr>
    </w:p>
    <w:p w:rsidR="002A17B2" w:rsidRDefault="002A17B2" w:rsidP="00073A6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Zgodność z przepisami prawa i standardami postępowania </w:t>
      </w:r>
    </w:p>
    <w:p w:rsidR="002A17B2" w:rsidRDefault="002A17B2" w:rsidP="002A17B2">
      <w:pPr>
        <w:spacing w:after="0" w:line="240" w:lineRule="auto"/>
        <w:jc w:val="both"/>
        <w:rPr>
          <w:sz w:val="20"/>
        </w:rPr>
      </w:pPr>
    </w:p>
    <w:p w:rsidR="002A17B2" w:rsidRDefault="002A17B2" w:rsidP="002A17B2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swojej działalności Grupa przestrzega wszystkich wymagań zawartych w przepisach prawa lub innych aktach prawnych mających zastosowanie do Grupy, w tym w przepisach antykorupcyjnych. </w:t>
      </w:r>
    </w:p>
    <w:p w:rsidR="002A17B2" w:rsidRDefault="002A17B2" w:rsidP="002A17B2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sytuacjach, w których niniejsza Polityka, przepisy prawa lub inne akty prawne nie określają odpowiednich standardów postępowania, Grupa postępuje w sposób zapewniający zgodność z tym, co społeczeństwo </w:t>
      </w:r>
      <w:proofErr w:type="gramStart"/>
      <w:r>
        <w:rPr>
          <w:sz w:val="20"/>
        </w:rPr>
        <w:t>akceptuje jako</w:t>
      </w:r>
      <w:proofErr w:type="gramEnd"/>
      <w:r>
        <w:rPr>
          <w:sz w:val="20"/>
        </w:rPr>
        <w:t xml:space="preserve"> najwyższe standardy rzetelności, uczciwości i przejrzystości. </w:t>
      </w:r>
    </w:p>
    <w:p w:rsidR="002A17B2" w:rsidRPr="002A17B2" w:rsidRDefault="002A17B2" w:rsidP="002A17B2">
      <w:pPr>
        <w:pStyle w:val="Akapitzlist"/>
        <w:spacing w:after="0" w:line="240" w:lineRule="auto"/>
        <w:ind w:left="1429"/>
        <w:jc w:val="both"/>
        <w:rPr>
          <w:sz w:val="20"/>
        </w:rPr>
      </w:pPr>
    </w:p>
    <w:p w:rsidR="002A17B2" w:rsidRDefault="00385AD6" w:rsidP="00073A6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Ujawnianie informacji i przejrzysta </w:t>
      </w:r>
      <w:r w:rsidR="00F22499">
        <w:rPr>
          <w:sz w:val="20"/>
        </w:rPr>
        <w:t>rachunkowość</w:t>
      </w:r>
      <w:r>
        <w:rPr>
          <w:sz w:val="20"/>
        </w:rPr>
        <w:t xml:space="preserve"> </w:t>
      </w:r>
    </w:p>
    <w:p w:rsidR="00385AD6" w:rsidRDefault="00385AD6" w:rsidP="00385AD6">
      <w:pPr>
        <w:pStyle w:val="Akapitzlist"/>
        <w:spacing w:after="0" w:line="240" w:lineRule="auto"/>
        <w:jc w:val="both"/>
        <w:rPr>
          <w:sz w:val="20"/>
        </w:rPr>
      </w:pPr>
    </w:p>
    <w:p w:rsidR="00385AD6" w:rsidRDefault="000209FC" w:rsidP="00385AD6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Grupa stara się zapewnić, że jej działania i cele są przejrzyste i jasno określone. </w:t>
      </w:r>
    </w:p>
    <w:p w:rsidR="000209FC" w:rsidRDefault="00F22499" w:rsidP="00385AD6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Rachunkowość</w:t>
      </w:r>
      <w:r w:rsidR="000209FC">
        <w:rPr>
          <w:sz w:val="20"/>
        </w:rPr>
        <w:t xml:space="preserve"> Grupy musi być rzetelna i musi prawidłowo odzwierciedlać wszystkie transakcje i wydarzenia, zgodnie ze wszystkimi mającymi zastosowanie przepisami prawa i standardami rachunkowości. </w:t>
      </w:r>
    </w:p>
    <w:p w:rsidR="000209FC" w:rsidRDefault="000209FC" w:rsidP="00385AD6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Zarządzanie i nadzorowanie dokumentacji Grupy musi być rzetelne i prawidłowe, zgodnie z mającymi zastosowanie przepisami prawa. Spóła i Grupa nie tolerują i zakazują wszelkich działań związanych z niszczeniem, uszkadzaniem, naruszaniem lub innym manipulowaniem oryginalnymi dokumentami. </w:t>
      </w:r>
    </w:p>
    <w:p w:rsidR="000209FC" w:rsidRDefault="000209FC" w:rsidP="000209FC">
      <w:pPr>
        <w:pStyle w:val="Akapitzlist"/>
        <w:spacing w:after="0" w:line="240" w:lineRule="auto"/>
        <w:ind w:left="1429"/>
        <w:jc w:val="both"/>
        <w:rPr>
          <w:sz w:val="20"/>
        </w:rPr>
      </w:pPr>
    </w:p>
    <w:p w:rsidR="000209FC" w:rsidRPr="000209FC" w:rsidRDefault="000209FC" w:rsidP="000209FC">
      <w:pPr>
        <w:pStyle w:val="Akapitzlist"/>
        <w:numPr>
          <w:ilvl w:val="1"/>
          <w:numId w:val="1"/>
        </w:numPr>
        <w:spacing w:after="0" w:line="240" w:lineRule="auto"/>
        <w:jc w:val="both"/>
        <w:rPr>
          <w:b/>
          <w:sz w:val="20"/>
        </w:rPr>
      </w:pPr>
      <w:r w:rsidRPr="000209FC">
        <w:rPr>
          <w:b/>
          <w:sz w:val="20"/>
        </w:rPr>
        <w:t xml:space="preserve">Zasada braku tolerancji dla korupcji </w:t>
      </w:r>
    </w:p>
    <w:p w:rsidR="000209FC" w:rsidRDefault="000209FC" w:rsidP="000209FC">
      <w:pPr>
        <w:pStyle w:val="Akapitzlist"/>
        <w:spacing w:after="0" w:line="240" w:lineRule="auto"/>
        <w:jc w:val="both"/>
        <w:rPr>
          <w:sz w:val="20"/>
        </w:rPr>
      </w:pPr>
    </w:p>
    <w:p w:rsidR="000209FC" w:rsidRDefault="000209FC" w:rsidP="000209FC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swojej działalności Grupa stosuje zasadę braku tolerancji dla korupcji. Zasada braku tolerancji dla korupcji ma zastosowanie w relacjach </w:t>
      </w:r>
      <w:r w:rsidR="00F22499">
        <w:rPr>
          <w:sz w:val="20"/>
        </w:rPr>
        <w:t xml:space="preserve">zarówno </w:t>
      </w:r>
      <w:r>
        <w:rPr>
          <w:sz w:val="20"/>
        </w:rPr>
        <w:t xml:space="preserve">z sektorem publicznym, jak i prywatnym. </w:t>
      </w:r>
    </w:p>
    <w:p w:rsidR="000209FC" w:rsidRDefault="000209FC" w:rsidP="000209FC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Grupa sprzeciwia się korupcji we wszystkich formach lub działaniach o charakterze korupcyjnym, które są określone w przepisach prawa lub innych aktach prawnych mających zastosowanie do Grupy lub w niniejszej Polityce, w tym wszelkie formy korupcji takie jak żądanie lub oferowanie łapówki, </w:t>
      </w:r>
      <w:r w:rsidR="00F22499">
        <w:rPr>
          <w:sz w:val="20"/>
        </w:rPr>
        <w:t>uzyskiwanie</w:t>
      </w:r>
      <w:r>
        <w:rPr>
          <w:sz w:val="20"/>
        </w:rPr>
        <w:t xml:space="preserve"> wpływów, gratyfikacje lub inne działania mające na celu uzyskanie/żądanie lub oferowanie łapówki, </w:t>
      </w:r>
      <w:r w:rsidR="00F22499">
        <w:rPr>
          <w:sz w:val="20"/>
        </w:rPr>
        <w:t>uzyskanie</w:t>
      </w:r>
      <w:r>
        <w:rPr>
          <w:sz w:val="20"/>
        </w:rPr>
        <w:t xml:space="preserve"> wpływów, gratyfikacji lub ukrywanie takich przestępstw natury korupcyjnej. </w:t>
      </w:r>
    </w:p>
    <w:p w:rsidR="000209FC" w:rsidRDefault="000209FC" w:rsidP="000209FC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Partnerzy biznesowi, dostawcy i inne strony trzecie mające relacje ze spółkami Grupy także muszą opierać swoją działalność na zasadach etycznego i odpowiedzialnego biznesu i muszą prowadzić działalność zgodnie z mającymi zastosowanie przepisami prawa. </w:t>
      </w:r>
    </w:p>
    <w:p w:rsidR="000209FC" w:rsidRDefault="000209FC" w:rsidP="000209FC">
      <w:pPr>
        <w:spacing w:after="0" w:line="240" w:lineRule="auto"/>
        <w:jc w:val="both"/>
        <w:rPr>
          <w:sz w:val="20"/>
        </w:rPr>
      </w:pPr>
    </w:p>
    <w:p w:rsidR="000209FC" w:rsidRPr="000209FC" w:rsidRDefault="000209FC" w:rsidP="00020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0209FC">
        <w:rPr>
          <w:b/>
          <w:sz w:val="20"/>
        </w:rPr>
        <w:t xml:space="preserve">Sponsoring i darowizny </w:t>
      </w:r>
    </w:p>
    <w:p w:rsidR="000209FC" w:rsidRDefault="000209FC" w:rsidP="000209FC">
      <w:pPr>
        <w:spacing w:after="0" w:line="240" w:lineRule="auto"/>
        <w:jc w:val="both"/>
        <w:rPr>
          <w:sz w:val="20"/>
        </w:rPr>
      </w:pPr>
    </w:p>
    <w:p w:rsidR="000209FC" w:rsidRDefault="0018747B" w:rsidP="000209F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Spółka i Grupa nie angażują się w żadne formy wpływ</w:t>
      </w:r>
      <w:r w:rsidR="00F22499">
        <w:rPr>
          <w:sz w:val="20"/>
        </w:rPr>
        <w:t>u</w:t>
      </w:r>
      <w:r>
        <w:rPr>
          <w:sz w:val="20"/>
        </w:rPr>
        <w:t>, bezpośredniego lub pośredniego, ani w finansowanie lub wspieranie w inny sposób polityków, partii/ruchów politycznych, ich przedstawicieli lub kandydatów, kampanii wyborczych, fundacji lub innych organizacji założonych pr</w:t>
      </w:r>
      <w:r w:rsidR="00F22499">
        <w:rPr>
          <w:sz w:val="20"/>
        </w:rPr>
        <w:t>zez polityków lub osoby z nimi po</w:t>
      </w:r>
      <w:r>
        <w:rPr>
          <w:sz w:val="20"/>
        </w:rPr>
        <w:t xml:space="preserve">wiązane. </w:t>
      </w:r>
    </w:p>
    <w:p w:rsidR="0018747B" w:rsidRDefault="0018747B" w:rsidP="0018747B">
      <w:pPr>
        <w:pStyle w:val="Akapitzlist"/>
        <w:spacing w:after="0" w:line="240" w:lineRule="auto"/>
        <w:jc w:val="both"/>
        <w:rPr>
          <w:sz w:val="20"/>
        </w:rPr>
      </w:pPr>
    </w:p>
    <w:p w:rsidR="0018747B" w:rsidRDefault="0018747B" w:rsidP="000209F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Działalność Grupy w zakresie sponsoringu i darowizn prowadzona jest zgodnie z mającymi zastosowanie przepisami prawa dotyczącymi sponsoringu i darowizn, a także z zasadami dotyczącymi sponsoringu i darowizn obowiązującymi w Grupie. </w:t>
      </w:r>
    </w:p>
    <w:p w:rsidR="0018747B" w:rsidRPr="0018747B" w:rsidRDefault="0018747B" w:rsidP="0018747B">
      <w:pPr>
        <w:pStyle w:val="Akapitzlist"/>
        <w:rPr>
          <w:sz w:val="20"/>
        </w:rPr>
      </w:pPr>
    </w:p>
    <w:p w:rsidR="0018747B" w:rsidRDefault="0018747B" w:rsidP="0018747B">
      <w:pPr>
        <w:spacing w:after="0" w:line="240" w:lineRule="auto"/>
        <w:jc w:val="both"/>
        <w:rPr>
          <w:sz w:val="20"/>
        </w:rPr>
      </w:pPr>
    </w:p>
    <w:p w:rsidR="0018747B" w:rsidRPr="0018747B" w:rsidRDefault="0018747B" w:rsidP="0018747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18747B">
        <w:rPr>
          <w:b/>
          <w:sz w:val="20"/>
        </w:rPr>
        <w:t xml:space="preserve">Prezenty i inne korzyści </w:t>
      </w:r>
    </w:p>
    <w:p w:rsidR="0018747B" w:rsidRDefault="0018747B" w:rsidP="0018747B">
      <w:pPr>
        <w:spacing w:after="0" w:line="240" w:lineRule="auto"/>
        <w:jc w:val="both"/>
        <w:rPr>
          <w:sz w:val="20"/>
        </w:rPr>
      </w:pPr>
    </w:p>
    <w:p w:rsidR="0018747B" w:rsidRDefault="00F22499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Pracownicy nie mogą bezpośrednio ani pośrednio</w:t>
      </w:r>
      <w:r w:rsidR="0018747B">
        <w:rPr>
          <w:sz w:val="20"/>
        </w:rPr>
        <w:t xml:space="preserve"> przyjmować jakichkolwiek prezentów związanych z działalnością Grupy, </w:t>
      </w:r>
      <w:proofErr w:type="gramStart"/>
      <w:r w:rsidR="0018747B">
        <w:rPr>
          <w:sz w:val="20"/>
        </w:rPr>
        <w:t>chyba że</w:t>
      </w:r>
      <w:proofErr w:type="gramEnd"/>
      <w:r w:rsidR="0018747B">
        <w:rPr>
          <w:sz w:val="20"/>
        </w:rPr>
        <w:t xml:space="preserve">: </w:t>
      </w:r>
    </w:p>
    <w:p w:rsidR="0018747B" w:rsidRDefault="0018747B" w:rsidP="0018747B">
      <w:pPr>
        <w:spacing w:after="0" w:line="240" w:lineRule="auto"/>
        <w:jc w:val="both"/>
        <w:rPr>
          <w:sz w:val="20"/>
        </w:rPr>
      </w:pPr>
    </w:p>
    <w:p w:rsidR="0018747B" w:rsidRDefault="0018747B" w:rsidP="0018747B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Prezent jest prezentem biznesowym o charakterze promocyjnym (zazwyczaj oznaczony znakiem handlowym firmy wręczającej) i o niskiej wartości (nieprzekraczającej 30 EUR), lub</w:t>
      </w:r>
    </w:p>
    <w:p w:rsidR="0018747B" w:rsidRDefault="0018747B" w:rsidP="0018747B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Oczywistym jest, że odmowa przyjęcia prezentu może obrazić osobę wręczającą prezent, a prezent jest oferowany i przyjmowany bez wyraźnego ani dorozumianego zobowiązania otrzymującego na rzecz wręczającego. W takim przypadku otrzymujący musi natychmiast powiadomić swojego bezpośredniego </w:t>
      </w:r>
      <w:r>
        <w:rPr>
          <w:sz w:val="20"/>
        </w:rPr>
        <w:t>przełożonego</w:t>
      </w:r>
      <w:r>
        <w:rPr>
          <w:sz w:val="20"/>
        </w:rPr>
        <w:t xml:space="preserve"> i osobą odpowiedzialną za politykę antykorupcyjną, a także przekazać otrzymany prezent na rzecz Grupy, lub </w:t>
      </w:r>
    </w:p>
    <w:p w:rsidR="0018747B" w:rsidRDefault="0018747B" w:rsidP="0018747B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Prezent jest otrzymywany lub wręczany podczas oficjalnego spotkania lub wizyty i spełnia wymogi uczciwego biznesu i protokołu międzynarodowego oraz zasad gościnności w zakresie utrzymania relacji biznesowej. W takim przypadku wręczający lub otrzymujący musi natychmiast powiadomić swojego bezpośredniego przełożonego i osobę odpowiedzialną za politykę antykorupcyjną o wręczeniu lub otrzymaniu prezentu. W przypadku otrzymania prezentu otrzymujący musi przekazać prezent na rzecz Grupy; </w:t>
      </w:r>
    </w:p>
    <w:p w:rsidR="0018747B" w:rsidRDefault="0018747B" w:rsidP="0018747B">
      <w:pPr>
        <w:pStyle w:val="Akapitzlist"/>
        <w:spacing w:after="0" w:line="240" w:lineRule="auto"/>
        <w:ind w:left="1429"/>
        <w:jc w:val="both"/>
        <w:rPr>
          <w:sz w:val="20"/>
        </w:rPr>
      </w:pPr>
    </w:p>
    <w:p w:rsidR="0018747B" w:rsidRDefault="0018747B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Pracownicy mają zakaz bezpośredniego lub pośredniego żądania prezentów i/lub gościnności od zainteresowanych stron trzecich. </w:t>
      </w:r>
    </w:p>
    <w:p w:rsidR="0018747B" w:rsidRDefault="0018747B" w:rsidP="0018747B">
      <w:pPr>
        <w:spacing w:after="0" w:line="240" w:lineRule="auto"/>
        <w:jc w:val="both"/>
        <w:rPr>
          <w:sz w:val="20"/>
        </w:rPr>
      </w:pPr>
    </w:p>
    <w:p w:rsidR="0018747B" w:rsidRDefault="0018747B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Pracownicy nie mogą bezpośrednio ani pośrednio </w:t>
      </w:r>
      <w:r w:rsidR="008663AB">
        <w:rPr>
          <w:sz w:val="20"/>
        </w:rPr>
        <w:t xml:space="preserve">przyjmować żadnej formy rozrywki, która może mieć wpływ lub może być uznana za mającą wpływ na decyzje biznesowe Pracownika. Gościnność, w tym posiłki i rozrywka, może być przyjęta, jeżeli istnieją wyraźne przyczyny biznesowe, aby Spółka brała udział w takich wydarzeniach lub korzystała z takiej gościnności uznawanej za normalną i akceptowalną, jeżeli gościnność taka nie ma zbyt dużej wartości i jest udostępniana i przyjmowana bez wyraźnych ani dorozumianych zobowiązań otrzymującego wobec wręczającego. Wyjazdy, zakwaterowanie i inne koszty ponoszone przez Pracowników w związku z taką gościnnością muszą być pokryte przez spółkę Grupy, w której dany Pracownik pracuje. </w:t>
      </w:r>
    </w:p>
    <w:p w:rsidR="008663AB" w:rsidRPr="008663AB" w:rsidRDefault="008663AB" w:rsidP="008663AB">
      <w:pPr>
        <w:pStyle w:val="Akapitzlist"/>
        <w:rPr>
          <w:sz w:val="20"/>
        </w:rPr>
      </w:pPr>
    </w:p>
    <w:p w:rsidR="008663AB" w:rsidRDefault="008663AB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Zaproszenia na płatne wydarzenia (konferencje, seminaria i podobne wydarzenia) mogą być przyjmowane wyłącznie, jeżeli mają związek z oficjalnymi spotkaniami i wizytami Pracowników lub jeżeli spółka Grupy lub jej Pracownicy organizują lub uczestniczą w danym wydarzeniu (</w:t>
      </w:r>
      <w:proofErr w:type="gramStart"/>
      <w:r>
        <w:rPr>
          <w:sz w:val="20"/>
        </w:rPr>
        <w:t>np. jako</w:t>
      </w:r>
      <w:proofErr w:type="gramEnd"/>
      <w:r>
        <w:rPr>
          <w:sz w:val="20"/>
        </w:rPr>
        <w:t xml:space="preserve"> prelegenci lub sponsorzy wydarzenia). Zaproszenia na wydarzenia mogą być także przyjmowane, jeżeli takie wydarzenia są otwarte i bezpłatne dla wszystkich uczestników. We wszystkich innych przypadkach uczestnictwo musi zostać zatwierdzone przez bezpośredniego przełożonego Pracownika oraz osobę w spółce Grupy odpowiedzialną za politykę antykorupcyjną. </w:t>
      </w:r>
    </w:p>
    <w:p w:rsidR="008663AB" w:rsidRPr="008663AB" w:rsidRDefault="008663AB" w:rsidP="008663AB">
      <w:pPr>
        <w:pStyle w:val="Akapitzlist"/>
        <w:rPr>
          <w:sz w:val="20"/>
        </w:rPr>
      </w:pPr>
    </w:p>
    <w:p w:rsidR="008663AB" w:rsidRDefault="00BC7850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Odnośnie oferowania korzyści (ekskluzywne rabaty, opłacone wakacje, oferty pracy itd.), pieniędzy i prezentów innych niż niskowartościowe prezenty biznesowe Pracownicy muszą niezwłocznie powiadomić swoich bezpośrednich przełożonych oraz osobę odpowiedzialną za politykę antykorupcyjną. </w:t>
      </w:r>
    </w:p>
    <w:p w:rsidR="00BC7850" w:rsidRPr="00BC7850" w:rsidRDefault="00BC7850" w:rsidP="00BC7850">
      <w:pPr>
        <w:pStyle w:val="Akapitzlist"/>
        <w:rPr>
          <w:sz w:val="20"/>
        </w:rPr>
      </w:pPr>
    </w:p>
    <w:p w:rsidR="00BC7850" w:rsidRDefault="00BC7850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Koszty podróży i zakwaterowania Pracownika odwiedzającego aktualnych lub potencjalnych dostawców, partnerów lub inne strony trzecie pokrywane są przez spółkę Grupy, w której dany Pracownik pracuje. </w:t>
      </w:r>
    </w:p>
    <w:p w:rsidR="00BC7850" w:rsidRPr="00BC7850" w:rsidRDefault="00BC7850" w:rsidP="00BC7850">
      <w:pPr>
        <w:pStyle w:val="Akapitzlist"/>
        <w:rPr>
          <w:sz w:val="20"/>
        </w:rPr>
      </w:pPr>
    </w:p>
    <w:p w:rsidR="00BC7850" w:rsidRDefault="00BC7850" w:rsidP="0018747B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Wręczanie prezentów i innych korzyści: </w:t>
      </w:r>
    </w:p>
    <w:p w:rsidR="00BC7850" w:rsidRPr="00BC7850" w:rsidRDefault="00BC7850" w:rsidP="00BC7850">
      <w:pPr>
        <w:pStyle w:val="Akapitzlist"/>
        <w:rPr>
          <w:sz w:val="20"/>
        </w:rPr>
      </w:pPr>
    </w:p>
    <w:p w:rsidR="00BC7850" w:rsidRDefault="00EE6B89" w:rsidP="00BC7850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Zasady wręczenia prezentów i innych korzyści mają zastosowanie również w przypadku wręczania prezentów i innych korzyści w imieniu i w interesie Grupy. Pracownicy nie mogą wręczać prezentów w imieniu i w interesie Grupy z wyjątkiem prezentów biznesowych o </w:t>
      </w:r>
      <w:r>
        <w:rPr>
          <w:sz w:val="20"/>
        </w:rPr>
        <w:lastRenderedPageBreak/>
        <w:t xml:space="preserve">charakterze promocyjnym (zazwyczaj oznaczonych znakiem handlowym Spółki i/lub Grupy) i niskiej wartości (nieprzekraczającej 30 EUR); </w:t>
      </w:r>
    </w:p>
    <w:p w:rsidR="00EE6B89" w:rsidRDefault="00EE6B89" w:rsidP="00EE6B89">
      <w:pPr>
        <w:pStyle w:val="Akapitzlist"/>
        <w:spacing w:after="0" w:line="240" w:lineRule="auto"/>
        <w:ind w:left="1429"/>
        <w:jc w:val="both"/>
        <w:rPr>
          <w:sz w:val="20"/>
        </w:rPr>
      </w:pPr>
    </w:p>
    <w:p w:rsidR="00EE6B89" w:rsidRDefault="00EE6B89" w:rsidP="00BC7850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Prezenty biznesowe w Spółce i Grupie mają za zadanie jedynie wzmocnienie wizerunku Spółki i Grupy; nie można ich stosować, aby uzyskać korzyści w innej sferze; </w:t>
      </w:r>
    </w:p>
    <w:p w:rsidR="00EE6B89" w:rsidRPr="00EE6B89" w:rsidRDefault="00EE6B89" w:rsidP="00EE6B89">
      <w:pPr>
        <w:spacing w:after="0" w:line="240" w:lineRule="auto"/>
        <w:jc w:val="both"/>
        <w:rPr>
          <w:sz w:val="20"/>
        </w:rPr>
      </w:pPr>
    </w:p>
    <w:p w:rsidR="00EE6B89" w:rsidRDefault="00EE6B89" w:rsidP="00BC7850">
      <w:pPr>
        <w:pStyle w:val="Akapitzlist"/>
        <w:numPr>
          <w:ilvl w:val="2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ramach Spółki i Grupy zabronione jest wręczanie </w:t>
      </w:r>
      <w:r w:rsidR="00357D91">
        <w:rPr>
          <w:sz w:val="20"/>
        </w:rPr>
        <w:t xml:space="preserve">prezentów w jakiejkolwiek formie urzędnikom regionalnym lub </w:t>
      </w:r>
      <w:r w:rsidR="00650CBC">
        <w:rPr>
          <w:sz w:val="20"/>
        </w:rPr>
        <w:t>lokalnym</w:t>
      </w:r>
      <w:r w:rsidR="00357D91">
        <w:rPr>
          <w:sz w:val="20"/>
        </w:rPr>
        <w:t xml:space="preserve">, urzędnikom służby cywilnej, pracownikom państw obcych, organizacji międzynarodowych lub krajów, w których Grupa prowadzi działalność, ani pracownikom lub audytorom spółek, instytucji lub organizacji państwowych lub </w:t>
      </w:r>
      <w:r w:rsidR="00650CBC">
        <w:rPr>
          <w:sz w:val="20"/>
        </w:rPr>
        <w:t>lokalnych</w:t>
      </w:r>
      <w:r w:rsidR="00357D91">
        <w:rPr>
          <w:sz w:val="20"/>
        </w:rPr>
        <w:t xml:space="preserve">, w tym spółek kontrolowanych przez państwo lub </w:t>
      </w:r>
      <w:r w:rsidR="00650CBC">
        <w:rPr>
          <w:sz w:val="20"/>
        </w:rPr>
        <w:t>władzę lokalną</w:t>
      </w:r>
      <w:r w:rsidR="00357D91">
        <w:rPr>
          <w:sz w:val="20"/>
        </w:rPr>
        <w:t xml:space="preserve">, z wyjątkiem przypadków, w których jest to wymagane zgodnie z protokołem międzynarodowym, a wręczenie prezentu nie będzie miało wpływu na wizerunek ani reputację Spółki. Wszelkie decyzje odnośnie wręczenia prezentów osobom wymienionym w niniejszym punkcie muszą być zatwierdzone przez osobę odpowiedzialną za politykę antykorupcyjną oraz dyrektora zarządzającego danej spółki Grupy. </w:t>
      </w:r>
    </w:p>
    <w:p w:rsidR="00357D91" w:rsidRPr="00357D91" w:rsidRDefault="00357D91" w:rsidP="00357D91">
      <w:pPr>
        <w:pStyle w:val="Akapitzlist"/>
        <w:rPr>
          <w:sz w:val="20"/>
        </w:rPr>
      </w:pPr>
    </w:p>
    <w:p w:rsidR="00357D91" w:rsidRDefault="00357D91" w:rsidP="00357D91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Przyjmowane, zwracane i wręczane prezenty podlegają rejestracji zgodnie z wewnętrznymi procedurami Spółki. Wszelkie otrzymane prezenty z wyjątkiem prezentów niskowartościowych opisanych w sekcji 6.1.1 </w:t>
      </w:r>
      <w:proofErr w:type="gramStart"/>
      <w:r>
        <w:rPr>
          <w:sz w:val="20"/>
        </w:rPr>
        <w:t>niniejszej</w:t>
      </w:r>
      <w:proofErr w:type="gramEnd"/>
      <w:r>
        <w:rPr>
          <w:sz w:val="20"/>
        </w:rPr>
        <w:t xml:space="preserve"> Polityki muszą być niezwłocznie przekazane przez Pracownika osobie odpowiedzialnej za politykę antykorupcyjną w spółce Grupy, w której dany Pracownik pracuje, a prezenty takie stają się własnością spółki Grupy, w której dany Pracownik pracuje. </w:t>
      </w:r>
    </w:p>
    <w:p w:rsidR="00357D91" w:rsidRDefault="00357D91" w:rsidP="00357D91">
      <w:pPr>
        <w:spacing w:after="0" w:line="240" w:lineRule="auto"/>
        <w:jc w:val="both"/>
        <w:rPr>
          <w:sz w:val="20"/>
        </w:rPr>
      </w:pPr>
    </w:p>
    <w:p w:rsidR="00357D91" w:rsidRPr="00357D91" w:rsidRDefault="00357D91" w:rsidP="00357D9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357D91">
        <w:rPr>
          <w:b/>
          <w:sz w:val="20"/>
        </w:rPr>
        <w:t>Konflikt</w:t>
      </w:r>
      <w:r>
        <w:rPr>
          <w:b/>
          <w:sz w:val="20"/>
        </w:rPr>
        <w:t>y</w:t>
      </w:r>
      <w:r w:rsidRPr="00357D91">
        <w:rPr>
          <w:b/>
          <w:sz w:val="20"/>
        </w:rPr>
        <w:t xml:space="preserve"> interesów </w:t>
      </w:r>
    </w:p>
    <w:p w:rsidR="00357D91" w:rsidRDefault="00357D91" w:rsidP="00357D91">
      <w:pPr>
        <w:spacing w:after="0" w:line="240" w:lineRule="auto"/>
        <w:jc w:val="both"/>
        <w:rPr>
          <w:sz w:val="20"/>
        </w:rPr>
      </w:pPr>
    </w:p>
    <w:p w:rsidR="00357D91" w:rsidRDefault="004C5220" w:rsidP="00357D91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Decyzje biznesowe i działania Grupy oparte są na zasadzie największej korzyści dla Grupy. Przedstawiciele muszą unikać wszelkich konfliktów interesów, które mogą potencjalnie mieć negatywny wpływ na bezstronne i obiektywne wykonywanie ich obowiązków lub funkcji. </w:t>
      </w:r>
    </w:p>
    <w:p w:rsidR="004C5220" w:rsidRDefault="004C5220" w:rsidP="004C5220">
      <w:pPr>
        <w:spacing w:after="0" w:line="240" w:lineRule="auto"/>
        <w:jc w:val="both"/>
        <w:rPr>
          <w:sz w:val="20"/>
        </w:rPr>
      </w:pPr>
    </w:p>
    <w:p w:rsidR="004C5220" w:rsidRDefault="00BD14DF" w:rsidP="004C522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Instrumenty pracy, zasoby finansowe i materialne oraz informacje wewnętrzne i poufne Grupy mogą być wykorzystywane jedynie w celach związanych z wykonywaniem przez Pracownika swoich bezpośrednich obowiązków, z wyjątkiem sytuacji, w których takie wykorzystanie jest </w:t>
      </w:r>
      <w:r w:rsidR="00650CBC">
        <w:rPr>
          <w:sz w:val="20"/>
        </w:rPr>
        <w:t xml:space="preserve">wyraźnie </w:t>
      </w:r>
      <w:r>
        <w:rPr>
          <w:sz w:val="20"/>
        </w:rPr>
        <w:t xml:space="preserve">uregulowane w formie pisemnej. </w:t>
      </w:r>
    </w:p>
    <w:p w:rsidR="00BD14DF" w:rsidRPr="00BD14DF" w:rsidRDefault="00BD14DF" w:rsidP="00BD14DF">
      <w:pPr>
        <w:pStyle w:val="Akapitzlist"/>
        <w:rPr>
          <w:sz w:val="20"/>
        </w:rPr>
      </w:pPr>
    </w:p>
    <w:p w:rsidR="00BD14DF" w:rsidRDefault="00BD14DF" w:rsidP="004C5220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Pracownik w sytuacji mogącej skutkować konfliktem interesów lub dostrzegający potencjalny konflikt interesów w działalności innych pracowników musi poinformować o tym osobę odpowiedzialną za politykę antykorupcyjną. Pracownicy, którzy znajdą się w takiej sytuacji zawsze muszą poinformować o tym swojego bezpośredniego przełożonego i </w:t>
      </w:r>
      <w:r>
        <w:rPr>
          <w:sz w:val="20"/>
        </w:rPr>
        <w:t>osobę odpowiedzialną za politykę antykorupcyjną</w:t>
      </w:r>
      <w:r>
        <w:rPr>
          <w:sz w:val="20"/>
        </w:rPr>
        <w:t xml:space="preserve">. </w:t>
      </w:r>
    </w:p>
    <w:p w:rsidR="00BD14DF" w:rsidRDefault="00BD14DF" w:rsidP="00BD14DF">
      <w:pPr>
        <w:spacing w:after="0" w:line="240" w:lineRule="auto"/>
        <w:jc w:val="both"/>
        <w:rPr>
          <w:sz w:val="20"/>
        </w:rPr>
      </w:pPr>
    </w:p>
    <w:p w:rsidR="00BD14DF" w:rsidRPr="00BD14DF" w:rsidRDefault="00BD14DF" w:rsidP="00BD14D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BD14DF">
        <w:rPr>
          <w:b/>
          <w:sz w:val="20"/>
        </w:rPr>
        <w:t xml:space="preserve">Zagraniczni funkcjonariusze publiczni </w:t>
      </w:r>
    </w:p>
    <w:p w:rsidR="00BD14DF" w:rsidRDefault="00BD14DF" w:rsidP="00BD14DF">
      <w:pPr>
        <w:spacing w:after="0" w:line="240" w:lineRule="auto"/>
        <w:jc w:val="both"/>
        <w:rPr>
          <w:sz w:val="20"/>
        </w:rPr>
      </w:pPr>
    </w:p>
    <w:p w:rsidR="00BD14DF" w:rsidRDefault="00B811E9" w:rsidP="00BD14DF">
      <w:pPr>
        <w:spacing w:after="0" w:line="240" w:lineRule="auto"/>
        <w:ind w:left="708"/>
        <w:jc w:val="both"/>
        <w:rPr>
          <w:sz w:val="20"/>
        </w:rPr>
      </w:pPr>
      <w:r>
        <w:rPr>
          <w:sz w:val="20"/>
        </w:rPr>
        <w:t xml:space="preserve">Pracownicy mający do czynienia z zagranicznymi </w:t>
      </w:r>
      <w:r w:rsidR="00AA20AE">
        <w:rPr>
          <w:sz w:val="20"/>
        </w:rPr>
        <w:t>funkcjonariuszami</w:t>
      </w:r>
      <w:r>
        <w:rPr>
          <w:sz w:val="20"/>
        </w:rPr>
        <w:t xml:space="preserve"> publicznymi lub działający w państwach obcych muszą stosować zasadę braku tolerancji dla korupcji oraz zapisy niniejszej Polityki niezależnie </w:t>
      </w:r>
      <w:r w:rsidR="00AA20AE">
        <w:rPr>
          <w:sz w:val="20"/>
        </w:rPr>
        <w:t xml:space="preserve">od tego, czy dane działania o charakterze korupcyjnym są karalne w danym państwie obcym. </w:t>
      </w:r>
    </w:p>
    <w:p w:rsidR="00AA20AE" w:rsidRDefault="00AA20AE" w:rsidP="00BD14DF">
      <w:pPr>
        <w:spacing w:after="0" w:line="240" w:lineRule="auto"/>
        <w:ind w:left="708"/>
        <w:jc w:val="both"/>
        <w:rPr>
          <w:sz w:val="20"/>
        </w:rPr>
      </w:pPr>
    </w:p>
    <w:p w:rsidR="00AA20AE" w:rsidRPr="00AA20AE" w:rsidRDefault="00AA20AE" w:rsidP="00AA20A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AA20AE">
        <w:rPr>
          <w:b/>
          <w:sz w:val="20"/>
        </w:rPr>
        <w:t xml:space="preserve">Realizacja, nadzór i kontrola Polityki </w:t>
      </w:r>
    </w:p>
    <w:p w:rsidR="00AA20AE" w:rsidRDefault="00AA20AE" w:rsidP="00AA20AE">
      <w:pPr>
        <w:spacing w:after="0" w:line="240" w:lineRule="auto"/>
        <w:jc w:val="both"/>
        <w:rPr>
          <w:sz w:val="20"/>
        </w:rPr>
      </w:pPr>
    </w:p>
    <w:p w:rsidR="00AA20AE" w:rsidRDefault="008631E8" w:rsidP="00AA20AE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Członkowie zarządów spółek z Grupy oraz menedżerowie działów spółek z Grupy muszą swoim zachowaniem prezentować standardy zachowania określone w niniejszej Polityce i zapewniać, że działalność w powierzonych im obszarach prowadzona jest zgodnie z zapisami niniejszej Polityki. </w:t>
      </w:r>
    </w:p>
    <w:p w:rsidR="008631E8" w:rsidRDefault="008631E8" w:rsidP="008631E8">
      <w:pPr>
        <w:spacing w:after="0" w:line="240" w:lineRule="auto"/>
        <w:jc w:val="both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Kierownicy spółek Grupy oraz ich działów są odpowiedzialni za zapewnienie, że ich podwładni i inne osoby </w:t>
      </w:r>
      <w:r w:rsidR="00650CBC">
        <w:rPr>
          <w:sz w:val="20"/>
        </w:rPr>
        <w:t>podlegające im</w:t>
      </w:r>
      <w:r>
        <w:rPr>
          <w:sz w:val="20"/>
        </w:rPr>
        <w:t xml:space="preserve"> znają niniejszą Politykę oraz inne wewnętrzne dokumenty danej spółki Grupy związane z realizacją Polityki oraz że treść takich dokumentów jest jasno i zrozumiale wyjaśniona (np. poprzez organizowanie okresowych szkoleń bądź szkoleń dla nowych pracowników itd</w:t>
      </w:r>
      <w:proofErr w:type="gramStart"/>
      <w:r>
        <w:rPr>
          <w:sz w:val="20"/>
        </w:rPr>
        <w:t>.). Każdy</w:t>
      </w:r>
      <w:proofErr w:type="gramEnd"/>
      <w:r>
        <w:rPr>
          <w:sz w:val="20"/>
        </w:rPr>
        <w:t xml:space="preserve"> menedżer każdego dnia odpowiada za realizację niniejszej Polityki, komunikowanie jej </w:t>
      </w:r>
      <w:r w:rsidR="00650CBC">
        <w:rPr>
          <w:sz w:val="20"/>
        </w:rPr>
        <w:t xml:space="preserve">swoim pracownikom </w:t>
      </w:r>
      <w:r>
        <w:rPr>
          <w:sz w:val="20"/>
        </w:rPr>
        <w:t xml:space="preserve">i prezentowanie odpowiedniego zachowania. </w:t>
      </w:r>
    </w:p>
    <w:p w:rsidR="008631E8" w:rsidRPr="008631E8" w:rsidRDefault="008631E8" w:rsidP="008631E8">
      <w:pPr>
        <w:pStyle w:val="Akapitzlist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Spółce może zostać utworzona specjalna grupa robocza ad hoc lub może być wyznaczona osoba w celu nadzorowania i kontrolowania kwestii antykorupcyjnych na poziomie Grupy. </w:t>
      </w:r>
    </w:p>
    <w:p w:rsidR="008631E8" w:rsidRPr="008631E8" w:rsidRDefault="008631E8" w:rsidP="008631E8">
      <w:pPr>
        <w:pStyle w:val="Akapitzlist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Aby zapewnić efektywność i terminową realizację Polityki, Grupa organizuje okresowe szkolenia i konsultacje dla Pracowników. Ma to na celu zwiększenie świadomości Pracowników w zakresie działalności antykorupcyjnej i promowanie działań antykorupcyjnych. Planowanie i realizacja szkoleń oraz organizacja konsultacji należy do specjalnej grupy roboczej ad hoc utworzone</w:t>
      </w:r>
      <w:r w:rsidR="00650CBC">
        <w:rPr>
          <w:sz w:val="20"/>
        </w:rPr>
        <w:t>j</w:t>
      </w:r>
      <w:r>
        <w:rPr>
          <w:sz w:val="20"/>
        </w:rPr>
        <w:t xml:space="preserve"> w Spółce lub do osoby </w:t>
      </w:r>
      <w:proofErr w:type="gramStart"/>
      <w:r>
        <w:rPr>
          <w:sz w:val="20"/>
        </w:rPr>
        <w:t>wyznaczonej jako</w:t>
      </w:r>
      <w:proofErr w:type="gramEnd"/>
      <w:r>
        <w:rPr>
          <w:sz w:val="20"/>
        </w:rPr>
        <w:t xml:space="preserve"> osoba odpowiedzialna za kwestie antykorupcyjne. </w:t>
      </w:r>
    </w:p>
    <w:p w:rsidR="008631E8" w:rsidRPr="008631E8" w:rsidRDefault="008631E8" w:rsidP="008631E8">
      <w:pPr>
        <w:pStyle w:val="Akapitzlist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Informacje o bieżącym statusie realizacji niniejszej Polityki przekazywane są w raportach rocznych i raportach z działalności Grupy. </w:t>
      </w:r>
    </w:p>
    <w:p w:rsidR="008631E8" w:rsidRPr="008631E8" w:rsidRDefault="008631E8" w:rsidP="008631E8">
      <w:pPr>
        <w:pStyle w:val="Akapitzlist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Grupa stara się zapewnić, </w:t>
      </w:r>
      <w:r w:rsidR="00650CBC">
        <w:rPr>
          <w:sz w:val="20"/>
        </w:rPr>
        <w:t>aby</w:t>
      </w:r>
      <w:r>
        <w:rPr>
          <w:sz w:val="20"/>
        </w:rPr>
        <w:t xml:space="preserve"> wszyscy dostawcy, wykonawcy, podwykonawcy, konsultanci, pośrednicy, otrzymujący wsparcie, przedstawiciele i inni p</w:t>
      </w:r>
      <w:r w:rsidR="00650CBC">
        <w:rPr>
          <w:sz w:val="20"/>
        </w:rPr>
        <w:t>artnerzy biznesowi przestrzegali</w:t>
      </w:r>
      <w:r>
        <w:rPr>
          <w:sz w:val="20"/>
        </w:rPr>
        <w:t xml:space="preserve"> wymogów niniejszej Polityki, która </w:t>
      </w:r>
      <w:r w:rsidR="00650CBC">
        <w:rPr>
          <w:sz w:val="20"/>
        </w:rPr>
        <w:t>w tym celu jest ogólnodostępna.</w:t>
      </w:r>
      <w:bookmarkStart w:id="0" w:name="_GoBack"/>
      <w:bookmarkEnd w:id="0"/>
    </w:p>
    <w:p w:rsidR="008631E8" w:rsidRPr="008631E8" w:rsidRDefault="008631E8" w:rsidP="008631E8">
      <w:pPr>
        <w:pStyle w:val="Akapitzlist"/>
        <w:rPr>
          <w:sz w:val="20"/>
        </w:rPr>
      </w:pPr>
    </w:p>
    <w:p w:rsidR="008631E8" w:rsidRDefault="008631E8" w:rsidP="008631E8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Spółka zapewnia wsparcie dla Pracowników zgł</w:t>
      </w:r>
      <w:r w:rsidR="00650CBC">
        <w:rPr>
          <w:sz w:val="20"/>
        </w:rPr>
        <w:t>aszających potencjalne przypadki</w:t>
      </w:r>
      <w:r>
        <w:rPr>
          <w:sz w:val="20"/>
        </w:rPr>
        <w:t xml:space="preserve"> korupcji lub inne naruszenia niniejszej Polityki, takie jak wręczanie, przyjmowanie, obiecywanie lub oferowanie niedozwolonego wynagrodzenia, dręczenie, konflikty interesów itd. Spółka chroni anonimowość takich pracowników i zapewnia bezpieczeństwo takich osób oraz informacji oraz zapewnia ochronę osobom zgłaszającym naruszenia niniejszej Polityki przed jakimikolwiek negatywnymi konsekwencjami. Spółka zapewnia pełną poufność oraz ochronę danych osobowych zgodnie z mającymi zastosowanie przepisami prawa. </w:t>
      </w:r>
      <w:r w:rsidR="00EE6DAD">
        <w:rPr>
          <w:sz w:val="20"/>
        </w:rPr>
        <w:t xml:space="preserve">Naruszenia niniejszej Polityki są upublicznianie poprzez wewnętrzne środki komunikacji zgodnie z przepisami prawa w zakresie ochrony danych osobowych.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EE6DAD" w:rsidRP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Pracownicy </w:t>
      </w:r>
      <w:r w:rsidR="00650CBC">
        <w:rPr>
          <w:sz w:val="20"/>
        </w:rPr>
        <w:t>zgłaszają</w:t>
      </w:r>
      <w:r>
        <w:rPr>
          <w:sz w:val="20"/>
        </w:rPr>
        <w:t xml:space="preserve"> potencjalne naruszenia niniejszej Polityki oraz podejrzenia naruszeń pracownikowi pełniącemu funkcje prewencji lub za pomocą linii wsparci</w:t>
      </w:r>
      <w:r w:rsidR="00650CBC">
        <w:rPr>
          <w:sz w:val="20"/>
        </w:rPr>
        <w:t>a</w:t>
      </w:r>
      <w:r>
        <w:rPr>
          <w:sz w:val="20"/>
        </w:rPr>
        <w:t xml:space="preserve"> (+370 5 2196 014, </w:t>
      </w:r>
      <w:hyperlink r:id="rId6" w:history="1">
        <w:r w:rsidRPr="002B4FA3">
          <w:rPr>
            <w:rStyle w:val="Hipercze"/>
            <w:sz w:val="20"/>
          </w:rPr>
          <w:t>pasitikejimolinija@maximagrupe.eu</w:t>
        </w:r>
      </w:hyperlink>
      <w:r>
        <w:rPr>
          <w:sz w:val="20"/>
        </w:rPr>
        <w:t xml:space="preserve"> lub </w:t>
      </w:r>
      <w:hyperlink r:id="rId7" w:history="1">
        <w:r w:rsidRPr="002B4FA3">
          <w:rPr>
            <w:rStyle w:val="Hipercze"/>
            <w:sz w:val="20"/>
          </w:rPr>
          <w:t>trustline@maximagrupe.eu</w:t>
        </w:r>
      </w:hyperlink>
      <w:r>
        <w:rPr>
          <w:sz w:val="20"/>
        </w:rPr>
        <w:t>). Inne zainteresowane strony mogą zgłaszać potencjalne naruszenia niniejszej P</w:t>
      </w:r>
      <w:r w:rsidR="00650CBC">
        <w:rPr>
          <w:sz w:val="20"/>
        </w:rPr>
        <w:t>olityki za pomocą linii wsparcia</w:t>
      </w:r>
      <w:r>
        <w:rPr>
          <w:sz w:val="20"/>
        </w:rPr>
        <w:t xml:space="preserve"> na stronie </w:t>
      </w:r>
      <w:hyperlink r:id="rId8" w:history="1">
        <w:r w:rsidRPr="002B4FA3">
          <w:rPr>
            <w:rStyle w:val="Hipercze"/>
            <w:sz w:val="20"/>
          </w:rPr>
          <w:t>www.maximagrupe.eu</w:t>
        </w:r>
      </w:hyperlink>
      <w:r>
        <w:rPr>
          <w:sz w:val="20"/>
        </w:rPr>
        <w:t xml:space="preserve">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Spółka zapewnia, że wszelkie potencjalne naruszenia niniejsze</w:t>
      </w:r>
      <w:r w:rsidR="00650CBC">
        <w:rPr>
          <w:sz w:val="20"/>
        </w:rPr>
        <w:t>j</w:t>
      </w:r>
      <w:r>
        <w:rPr>
          <w:sz w:val="20"/>
        </w:rPr>
        <w:t xml:space="preserve"> P</w:t>
      </w:r>
      <w:r w:rsidR="00650CBC">
        <w:rPr>
          <w:sz w:val="20"/>
        </w:rPr>
        <w:t xml:space="preserve">olityki są odpowiednio </w:t>
      </w:r>
      <w:r>
        <w:rPr>
          <w:sz w:val="20"/>
        </w:rPr>
        <w:t xml:space="preserve">badane przez osoby do tego upoważnione i kompetentne. Wyniki, wnioski i sugestie z takiego badania są przedstawiane członkom zarządu Spółki.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Naruszenie postanowień niniejszej Polityki uznawane jest za rażące naruszenie dyscypliny pracy, za które obowiązuje odpowiedzialność dyscyplinarna.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przypadku wykrycia oznak działalności o charakterze przestępczym spółki Grupy informują odpowiednie organy ścigania.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EE6DAD" w:rsidRPr="00EE6DAD" w:rsidRDefault="00EE6DAD" w:rsidP="00EE6DA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EE6DAD">
        <w:rPr>
          <w:b/>
          <w:sz w:val="20"/>
        </w:rPr>
        <w:t xml:space="preserve">Postanowienia końcowe </w:t>
      </w:r>
    </w:p>
    <w:p w:rsidR="00EE6DAD" w:rsidRDefault="00EE6DAD" w:rsidP="00EE6DAD">
      <w:pPr>
        <w:spacing w:after="0" w:line="240" w:lineRule="auto"/>
        <w:jc w:val="both"/>
        <w:rPr>
          <w:sz w:val="20"/>
        </w:rPr>
      </w:pPr>
    </w:p>
    <w:p w:rsid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Niniejsza Polityka ma zastosowanie bezpośrednio do Spółki i do innych spółek Grupy, jeżeli jest zatwierdzona w danej spółce Grupy. Mając na uwadze specyficzny charakter działalności poszczególnych spółek Grupy dana spółka może w uzasadnionych przypadkach zatwierdzić dodatkowe lub alternatywne zobowiązania antykorupcyjne, a także mechanizmy i procedury zapewniania zgodności z nimi oraz </w:t>
      </w:r>
      <w:r w:rsidR="00650CBC">
        <w:rPr>
          <w:sz w:val="20"/>
        </w:rPr>
        <w:t xml:space="preserve">ich </w:t>
      </w:r>
      <w:r>
        <w:rPr>
          <w:sz w:val="20"/>
        </w:rPr>
        <w:t xml:space="preserve">realizacji, nadzoru i kontroli nad nimi. </w:t>
      </w:r>
    </w:p>
    <w:p w:rsidR="00EE6DAD" w:rsidRDefault="00EE6DAD" w:rsidP="00EE6DAD">
      <w:pPr>
        <w:spacing w:after="0" w:line="240" w:lineRule="auto"/>
        <w:jc w:val="both"/>
        <w:rPr>
          <w:sz w:val="20"/>
        </w:rPr>
      </w:pPr>
    </w:p>
    <w:p w:rsidR="00EE6DAD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Pracownicy muszą zapoznać się z niniejszą Polityką Antykorupcyjną i przestrzegać jej zapisów. </w:t>
      </w:r>
    </w:p>
    <w:p w:rsidR="00EE6DAD" w:rsidRPr="00EE6DAD" w:rsidRDefault="00EE6DAD" w:rsidP="00EE6DAD">
      <w:pPr>
        <w:pStyle w:val="Akapitzlist"/>
        <w:rPr>
          <w:sz w:val="20"/>
        </w:rPr>
      </w:pPr>
    </w:p>
    <w:p w:rsidR="00C420E8" w:rsidRDefault="00EE6DAD" w:rsidP="00EE6DAD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Spółka ma na celu zapewnienie rzetelnych relacji z dostawcami, wykonawcami i innymi partnerami biznesowymi. W tych relacjach Grupa przestrzega zasady przejrzystości i zasady uczciwego i etycznego postępowania. Wszyscy bieżący i potencjalni partnerzy Grupy mogą zapoznać się z </w:t>
      </w:r>
      <w:r>
        <w:rPr>
          <w:sz w:val="20"/>
        </w:rPr>
        <w:lastRenderedPageBreak/>
        <w:t xml:space="preserve">zapisami niniejszej Polityki. Polityka jest dostępna na stronie </w:t>
      </w:r>
      <w:hyperlink r:id="rId9" w:history="1">
        <w:r w:rsidRPr="002B4FA3">
          <w:rPr>
            <w:rStyle w:val="Hipercze"/>
            <w:sz w:val="20"/>
          </w:rPr>
          <w:t>www.maximagrupe.eu</w:t>
        </w:r>
      </w:hyperlink>
      <w:r>
        <w:rPr>
          <w:sz w:val="20"/>
        </w:rPr>
        <w:t xml:space="preserve"> oraz na stronie in</w:t>
      </w:r>
      <w:r w:rsidR="00C420E8">
        <w:rPr>
          <w:sz w:val="20"/>
        </w:rPr>
        <w:t xml:space="preserve">ternetowej każdej spółki bezpośrednio lub pośrednio należącej do Grupy. </w:t>
      </w:r>
    </w:p>
    <w:p w:rsidR="00C420E8" w:rsidRPr="00C420E8" w:rsidRDefault="00C420E8" w:rsidP="00C420E8">
      <w:pPr>
        <w:pStyle w:val="Akapitzlist"/>
        <w:rPr>
          <w:sz w:val="20"/>
        </w:rPr>
      </w:pPr>
    </w:p>
    <w:p w:rsidR="00EE6DAD" w:rsidRPr="00C420E8" w:rsidRDefault="00EE6DAD" w:rsidP="00C420E8">
      <w:pPr>
        <w:rPr>
          <w:sz w:val="20"/>
        </w:rPr>
      </w:pPr>
    </w:p>
    <w:p w:rsidR="00EE6DAD" w:rsidRDefault="00EE6DAD" w:rsidP="00EE6DAD">
      <w:pPr>
        <w:spacing w:after="0" w:line="240" w:lineRule="auto"/>
        <w:jc w:val="both"/>
        <w:rPr>
          <w:sz w:val="20"/>
        </w:rPr>
      </w:pPr>
    </w:p>
    <w:p w:rsidR="00EE6DAD" w:rsidRPr="00EE6DAD" w:rsidRDefault="00EE6DAD" w:rsidP="00EE6DAD">
      <w:pPr>
        <w:spacing w:after="0" w:line="240" w:lineRule="auto"/>
        <w:jc w:val="both"/>
        <w:rPr>
          <w:sz w:val="20"/>
        </w:rPr>
      </w:pPr>
    </w:p>
    <w:p w:rsidR="00EE6DAD" w:rsidRDefault="00EE6DAD" w:rsidP="00EE6DAD">
      <w:pPr>
        <w:spacing w:after="0" w:line="240" w:lineRule="auto"/>
        <w:jc w:val="both"/>
        <w:rPr>
          <w:sz w:val="20"/>
        </w:rPr>
      </w:pPr>
    </w:p>
    <w:p w:rsidR="00EE6DAD" w:rsidRPr="00EE6DAD" w:rsidRDefault="00EE6DAD" w:rsidP="00EE6DAD">
      <w:pPr>
        <w:spacing w:after="0" w:line="240" w:lineRule="auto"/>
        <w:jc w:val="both"/>
        <w:rPr>
          <w:sz w:val="20"/>
        </w:rPr>
      </w:pPr>
    </w:p>
    <w:sectPr w:rsidR="00EE6DAD" w:rsidRPr="00EE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4BC5"/>
    <w:multiLevelType w:val="multilevel"/>
    <w:tmpl w:val="CBC8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F0"/>
    <w:rsid w:val="000209FC"/>
    <w:rsid w:val="00073A66"/>
    <w:rsid w:val="0018747B"/>
    <w:rsid w:val="002A17B2"/>
    <w:rsid w:val="00351FF0"/>
    <w:rsid w:val="00357D91"/>
    <w:rsid w:val="00385AD6"/>
    <w:rsid w:val="004C0229"/>
    <w:rsid w:val="004C5220"/>
    <w:rsid w:val="00543456"/>
    <w:rsid w:val="00650CBC"/>
    <w:rsid w:val="008631E8"/>
    <w:rsid w:val="008663AB"/>
    <w:rsid w:val="00AA20AE"/>
    <w:rsid w:val="00B811E9"/>
    <w:rsid w:val="00BC7850"/>
    <w:rsid w:val="00BD14DF"/>
    <w:rsid w:val="00C420E8"/>
    <w:rsid w:val="00DF7BB4"/>
    <w:rsid w:val="00EE6B89"/>
    <w:rsid w:val="00EE6DAD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F0"/>
    <w:pPr>
      <w:ind w:left="720"/>
      <w:contextualSpacing/>
    </w:pPr>
  </w:style>
  <w:style w:type="table" w:styleId="Tabela-Siatka">
    <w:name w:val="Table Grid"/>
    <w:basedOn w:val="Standardowy"/>
    <w:uiPriority w:val="59"/>
    <w:rsid w:val="003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FF0"/>
    <w:pPr>
      <w:ind w:left="720"/>
      <w:contextualSpacing/>
    </w:pPr>
  </w:style>
  <w:style w:type="table" w:styleId="Tabela-Siatka">
    <w:name w:val="Table Grid"/>
    <w:basedOn w:val="Standardowy"/>
    <w:uiPriority w:val="59"/>
    <w:rsid w:val="003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agrup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ustline@maximagru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tikejimolinija@maximagrupe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ximagrup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2332</Words>
  <Characters>14719</Characters>
  <Application>Microsoft Office Word</Application>
  <DocSecurity>0</DocSecurity>
  <Lines>226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Exen Sp. z o.o.</dc:creator>
  <cp:lastModifiedBy>Exen Sp. z o.o.</cp:lastModifiedBy>
  <cp:revision>10</cp:revision>
  <dcterms:created xsi:type="dcterms:W3CDTF">2019-05-07T06:36:00Z</dcterms:created>
  <dcterms:modified xsi:type="dcterms:W3CDTF">2019-05-07T08:52:00Z</dcterms:modified>
</cp:coreProperties>
</file>